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FFEB0">
      <w:pPr>
        <w:keepNext w:val="0"/>
        <w:keepLines w:val="0"/>
        <w:widowControl/>
        <w:suppressLineNumbers w:val="0"/>
        <w:ind w:left="0" w:firstLine="0"/>
        <w:jc w:val="left"/>
        <w:rPr>
          <w:rFonts w:ascii="Arial" w:hAnsi="Arial" w:eastAsia="Arial" w:cs="Arial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default" w:ascii="Arial" w:hAnsi="Arial" w:eastAsia="Arial" w:cs="Arial"/>
          <w:i w:val="0"/>
          <w:iCs w:val="0"/>
          <w:caps w:val="0"/>
          <w:color w:val="auto"/>
          <w:spacing w:val="0"/>
          <w:kern w:val="0"/>
          <w:sz w:val="18"/>
          <w:szCs w:val="18"/>
          <w:lang w:val="en-US" w:eastAsia="zh-CN" w:bidi="ar"/>
        </w:rPr>
        <w:t>商务部新闻发言人就美方有关言论答记者问</w:t>
      </w:r>
    </w:p>
    <w:p w14:paraId="5D2164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  <w:t>中方坚决拒绝无理指责</w:t>
      </w:r>
    </w:p>
    <w:p w14:paraId="14ABCD0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新华社北京6月2日电 商务部新闻发言人2日就美方有关言论答记者问时表示，美单方面不断挑起新的经贸摩擦，加剧双边经贸关系的不确定性、不稳定性，不仅不反思自身，反而倒打一耙，无端指责中方违反共识，这严重背离事实。中方坚决拒绝无理指责。</w:t>
      </w:r>
    </w:p>
    <w:p w14:paraId="3730DFA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有记者问：近日，美方不断有消息称，中方违反中美日内瓦经贸会谈共识，请问商务部对此有何评价？商务部新闻发言人作出上述回应。</w:t>
      </w:r>
    </w:p>
    <w:p w14:paraId="490D291E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发言人说，中方注意到有关情况。5月12日，中美双方发布《中美日内瓦经贸会谈联合声明》后，中方按照联合声明达成的共识，取消或暂停了针对美“对等关税”采取的相关关税和非关税措施。中方本着负责任的态度，认真对待、严格落实、积极维护日内瓦经贸会谈共识。中方维护权益是坚定的，落实共识是诚信的。反观美方，在日内瓦经贸会谈后，陆续新增出台多项对华歧视性限制措施，包括发布AI芯片出口管制指南、停止对华芯片设计软件（EDA）销售、宣布撤销中国留学生签证等。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下转A02版）</w:t>
      </w:r>
    </w:p>
    <w:p w14:paraId="3BAC5FF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72DAB03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33168F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ascii="Arial" w:hAnsi="Arial" w:eastAsia="Arial" w:cs="Arial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default" w:ascii="Arial" w:hAnsi="Arial" w:eastAsia="Arial" w:cs="Arial"/>
          <w:i w:val="0"/>
          <w:iCs w:val="0"/>
          <w:caps w:val="0"/>
          <w:color w:val="auto"/>
          <w:spacing w:val="0"/>
          <w:kern w:val="0"/>
          <w:sz w:val="18"/>
          <w:szCs w:val="18"/>
          <w:lang w:val="en-US" w:eastAsia="zh-CN" w:bidi="ar"/>
        </w:rPr>
        <w:t>以园林为基底、城市为画布，三年绘就生态空间人文融合的公园城市新图景——</w:t>
      </w:r>
    </w:p>
    <w:p w14:paraId="435B7E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  <w:t>解码城园共融的“苏州实践”</w:t>
      </w:r>
    </w:p>
    <w:p w14:paraId="3E65759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□苏报记者 凌欣炜</w:t>
      </w:r>
    </w:p>
    <w:p w14:paraId="10A2440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初夏的苏州，草木丰茂，园林如画。走进古城区的大街小巷，不少居民将门前小空间打造成“迷你花园”，仓街的文艺花墙、乌鹊桥路的烟火小院、西北街的创意花坛，诗意生活触手可及。晨练的老人、骑行的青年、拍照的游客，徜徉绿意之中，与古城同频呼吸。</w:t>
      </w:r>
    </w:p>
    <w:p w14:paraId="6E720B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“你一句春不晚，我便到了真江南。”这句网络热语，道出了苏州的独特气质。然而，如今的苏州早已不止于园林与小巷的静态之美。自2022年《苏州市“公园城市”建设指导意见》发布起，一场关于“城园共融”的绿色革新悄然启动：拆围墙、建绿道、造口袋公园，将“咫尺乾坤”的古典园林理念拓展到整座城市，书写生态与生活相融的新叙事。</w:t>
      </w:r>
    </w:p>
    <w:p w14:paraId="261FA9A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生态织网，从“点状盆景”到“山水长卷”</w:t>
      </w:r>
    </w:p>
    <w:p w14:paraId="6474196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108座名录园林、9处世界文化遗产，是苏州“园林之城”的显性标签；而太湖、阳澄湖等400多个湖泊，长江、京杭大运河等2万多条河流，大小不等的140余座山体，则是隐形的生态富矿。作为全国首个“国家生态园林城市群”，苏州具备古代园林底蕴与现代公园城市创新的双重优势。2022年，苏州明确提出建设“处处皆景、城在园中”的公园城市目标。这一概念不仅仅是绿化面积的增加，更是对城市发展方式的一次系统重塑。</w:t>
      </w:r>
    </w:p>
    <w:p w14:paraId="240A4DD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在“生态筑城、绿道连城、公园融城、乐享园林、苏式生活”五大行动框架下，苏州公园城市建设全面启动。苏州市园林和绿化管理局规划管理处处长柏灵芝介绍，在宏观生态格局方面，苏州构建起“一核两带多廊多点”的生态骨架：以太湖为核心，长江生态带与水乡湿地带为“两带”，山林、河流、湿地为脉络，蓝绿网络贯穿全域自然要素。</w:t>
      </w:r>
    </w:p>
    <w:p w14:paraId="263AEAA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生态基底如画布，绿道网络则是勾勒山水长卷的画笔。依托“城市一核、四角山水、多元片区”的空间格局，苏州逐步修复古城与自然之间的生态过渡带，织密山水绿道网络，实现从中心城区向太湖、长江的生态辐射。</w:t>
      </w:r>
    </w:p>
    <w:p w14:paraId="4E2F9653">
      <w:pPr>
        <w:ind w:firstLine="452" w:firstLineChars="200"/>
        <w:rPr>
          <w:rFonts w:hint="default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站在渔洋山巅远眺，太湖岸线如翡翠项链蜿蜒铺展。三年间，苏州新增绿道126.1公里，建设森林步道286公里，新增造林绿化面积11.93平方公里，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下转A02版）</w:t>
      </w:r>
    </w:p>
    <w:p w14:paraId="136F90A8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584F89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ascii="Arial" w:hAnsi="Arial" w:eastAsia="Arial" w:cs="Arial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default" w:ascii="Arial" w:hAnsi="Arial" w:eastAsia="Arial" w:cs="Arial"/>
          <w:i w:val="0"/>
          <w:iCs w:val="0"/>
          <w:caps w:val="0"/>
          <w:color w:val="auto"/>
          <w:spacing w:val="0"/>
          <w:kern w:val="0"/>
          <w:sz w:val="18"/>
          <w:szCs w:val="18"/>
          <w:lang w:val="en-US" w:eastAsia="zh-CN" w:bidi="ar"/>
        </w:rPr>
        <w:t>不断激发消费市场活力和企业潜能</w:t>
      </w:r>
    </w:p>
    <w:p w14:paraId="7020D3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  <w:t>国潮市场规模将破3万亿</w:t>
      </w:r>
    </w:p>
    <w:p w14:paraId="3C7027A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据新华社北京6月2日电 旅途之中，走进博物馆打卡“国宝”必不可少；走进乡村，非遗工坊里游客们仔细挑选心仪的手工艺品；打开购物软件，马面裙、国货彩妆是年轻人的“心头好”……不知从何时起，传统文化已在人们生活中繁盛存在。</w:t>
      </w:r>
    </w:p>
    <w:p w14:paraId="65B56C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国潮，就是“国”与“潮”的融合体——“国”指的是中国传统文化元素，“潮”则是指时尚潮流。“新国潮”便是通过创新创意将二者结合起来。</w:t>
      </w:r>
    </w:p>
    <w:p w14:paraId="5B090D7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如今，中华优秀传统文化引领起一股“新国潮”，迸发出驱动经济社会发展的深层力量。</w:t>
      </w:r>
    </w:p>
    <w:p w14:paraId="4B2F3A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逛博物馆正成为更多人的“国潮”生活方式之一。成都金沙遗址博物馆数据显示，每年购买年票的观众多达5000余人。从更大的空间看，在平遥古城追寻晋商文化、在苏州古城平江历史文化街区体验“苏式生活”、在潮州古城品味茶香与美食……历史记忆与人间烟火交汇融合，城市文脉和现代生活共荣共生，“活着的古城”为人们的生活增添“国潮”新体验。</w:t>
      </w:r>
    </w:p>
    <w:p w14:paraId="6927D7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“新国潮”的流行，助推社会分工细化优化、新的职业序列培育挖掘，开发出新的就业增长点，引导更多群众实现高质量充分就业。截至2024年底，我国共建设9100余家非遗工坊，直接吸纳27万余名脱贫群众实现就业，人均年收入超过3.6万元。“老手艺”成为群众就业增收新亮点。</w:t>
      </w:r>
    </w:p>
    <w:p w14:paraId="57CF22E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艾媒咨询发布的《2024年中国国潮经济发展状况及消费行为调查报告》预计，到2028年，国潮市场规模将突破3万亿元。</w:t>
      </w:r>
    </w:p>
    <w:p w14:paraId="270B88C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国潮澎湃，不断激发消费市场活力和企业潜能。国潮产业的蓬勃发展，不仅体现了中国品牌的文化自信，更彰显了传统文化在现代商业环境中的强大生命力。</w:t>
      </w:r>
    </w:p>
    <w:p w14:paraId="2E3A8A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347C4B7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691E5B2A">
      <w:pPr>
        <w:keepNext w:val="0"/>
        <w:keepLines w:val="0"/>
        <w:widowControl/>
        <w:suppressLineNumbers w:val="0"/>
        <w:ind w:left="0" w:firstLine="0"/>
        <w:jc w:val="left"/>
        <w:rPr>
          <w:rFonts w:ascii="Arial" w:hAnsi="Arial" w:eastAsia="Arial" w:cs="Arial"/>
          <w:b/>
          <w:bCs/>
          <w:i w:val="0"/>
          <w:iCs w:val="0"/>
          <w:caps w:val="0"/>
          <w:color w:val="222222"/>
          <w:spacing w:val="0"/>
          <w:sz w:val="27"/>
          <w:szCs w:val="27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  <w:t>畅通旅客出行“最后一公里”</w:t>
      </w:r>
    </w:p>
    <w:p w14:paraId="045D957A">
      <w:pPr>
        <w:keepNext w:val="0"/>
        <w:keepLines w:val="0"/>
        <w:widowControl/>
        <w:suppressLineNumbers w:val="0"/>
        <w:pBdr>
          <w:bottom w:val="none" w:color="auto" w:sz="0" w:space="0"/>
        </w:pBdr>
        <w:ind w:lef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auto"/>
          <w:spacing w:val="0"/>
          <w:kern w:val="0"/>
          <w:sz w:val="23"/>
          <w:szCs w:val="23"/>
          <w:lang w:val="en-US" w:eastAsia="zh-CN" w:bidi="ar"/>
        </w:rPr>
      </w:pPr>
      <w:r>
        <w:rPr>
          <w:rFonts w:hint="default" w:ascii="Arial" w:hAnsi="Arial" w:eastAsia="Arial" w:cs="Arial"/>
          <w:i w:val="0"/>
          <w:iCs w:val="0"/>
          <w:caps w:val="0"/>
          <w:color w:val="auto"/>
          <w:spacing w:val="0"/>
          <w:kern w:val="0"/>
          <w:sz w:val="23"/>
          <w:szCs w:val="23"/>
          <w:lang w:val="en-US" w:eastAsia="zh-CN" w:bidi="ar"/>
        </w:rPr>
        <w:t>铁路部门保障假期返程平安有序</w:t>
      </w:r>
    </w:p>
    <w:p w14:paraId="4C2668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新华社北京6月2日电 记者从中国国家铁路集团有限公司获悉，2日，全国铁路预计发送旅客1790万人次，计划加开旅客列车1279列。6月1日，全国铁路发送旅客1190.2万人次，铁路运输安全平稳有序。</w:t>
      </w:r>
    </w:p>
    <w:p w14:paraId="40D4F1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从铁路12306车票预售情况看，2日热门出发城市主要有北京、成都、广州、南京、杭州、上海、郑州、武汉、西安、重庆；热门到达城市主要有北京、上海、广州、成都、武汉、杭州、郑州、深圳、西安、南京；南宁至广州、沈阳至北京、成都至西安、西安至成都、长沙至武汉、郑州至北京、呼和浩特至北京、北京至上海、太原至北京、济南至北京等热门区间客流较为集中。</w:t>
      </w:r>
    </w:p>
    <w:p w14:paraId="3A80E5B6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各地铁路部门积极应对返程客流高峰，增加运力投放，加大服务保障力度，服务旅客平安便捷温馨出行。国铁太原局集团公司增开吕梁至大同旅客列车，方便吕梁革命老区和晋北城市间旅客假日出行；国铁上海局集团公司联合当地文旅部门在芜湖站举办文艺表演，鼓舞、川剧变脸等节目将节日气氛推向高潮；国铁成都局集团公司成都动车段安排动车组错峰检修，加大假期期间夜间检修生产投入，为白天的旅客运输释放全部运能；国铁乌鲁木齐局集团公司协调市政交通部门加密公交班次，设置网约车候车区，畅通旅客出行“最后一公里”。</w:t>
      </w:r>
    </w:p>
    <w:p w14:paraId="6F8FD05C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42296FA0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bookmarkStart w:id="0" w:name="_GoBack"/>
      <w:bookmarkEnd w:id="0"/>
    </w:p>
    <w:p w14:paraId="0C76DFAE">
      <w:pPr>
        <w:keepNext w:val="0"/>
        <w:keepLines w:val="0"/>
        <w:widowControl/>
        <w:suppressLineNumbers w:val="0"/>
        <w:ind w:left="0" w:firstLine="0"/>
        <w:jc w:val="left"/>
        <w:rPr>
          <w:rFonts w:ascii="Arial" w:hAnsi="Arial" w:eastAsia="Arial" w:cs="Arial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lang w:val="en-US" w:eastAsia="zh-CN" w:bidi="ar"/>
        </w:rPr>
        <w:t>天气逐渐转好 “阳光模式”开启</w:t>
      </w:r>
    </w:p>
    <w:p w14:paraId="3D8DF956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  <w:t>苏城气温本周重上“3”字头</w:t>
      </w:r>
    </w:p>
    <w:p w14:paraId="67D8F1B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苏报讯（记者 邵群）昨天，我国南方强降雨区域有所南压，华南多地雨势较强，且伴有强对流天气。今天随着阴雨的缩减，除东北以外的中东部大部地区将陆续迎来30℃以上的炎热天气，尤其是河北、河南、山东等地将出现较大范围的高温天气。</w:t>
      </w:r>
    </w:p>
    <w:p w14:paraId="75EA0D2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苏州昨天早晨的最低气温为19.4℃，和前天的最高气温差不多，白天仍以阴雨天气为主，截至下午4时，最高气温只有21.9℃，体感舒适。端午假期收尾，苏州天气也将转好。目前来看，未来三天以晴好天气为主，气温节节攀升。</w:t>
      </w:r>
    </w:p>
    <w:p w14:paraId="5D5B4F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苏州市气象台预计，今天多云到晴。西北风5级、阵风6级、水面阵风7级。今天早晨的最低气温在19℃左右，白天最高气温在28℃左右，注意防晒和补水。预计明天也是多云到晴的天气，气温在20℃～32℃之间。苏州昨天夜里到今天上午的空气质量为优，今天下午为良。</w:t>
      </w:r>
    </w:p>
    <w:p w14:paraId="279E3D3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26973F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056D5015"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18"/>
          <w:szCs w:val="18"/>
          <w:lang w:val="en-US" w:eastAsia="zh-CN" w:bidi="ar"/>
        </w:rPr>
        <w:t>我市打造支持中小微企业融资协调机制，首贷、信用贷、无还本续贷、转贷四项业务联动——</w:t>
      </w:r>
    </w:p>
    <w:p w14:paraId="6EC30F0D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sz w:val="27"/>
          <w:szCs w:val="27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222222"/>
          <w:spacing w:val="0"/>
          <w:kern w:val="0"/>
          <w:sz w:val="27"/>
          <w:szCs w:val="27"/>
          <w:lang w:val="en-US" w:eastAsia="zh-CN" w:bidi="ar"/>
        </w:rPr>
        <w:t>“12345”工作法缓解民企融资难</w:t>
      </w:r>
    </w:p>
    <w:p w14:paraId="34D410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□苏报记者 张帅</w:t>
      </w:r>
    </w:p>
    <w:p w14:paraId="14C810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　　长期以来，融资难、融资贵、融资慢是民营企业特别是中小微企业发展过程中普遍面临的痛点。苏州作为全国民营经济最集中、最活跃、最发达的地区之一，始终高度重视民营经济发展。近日，记者从苏州市发展改革委了解到，苏州从企业和产业的实际发展需要出发，建立了一套覆盖全市的支持中小微企业融资协调机制，重点推出两项银企对接机制，政府端、银行端明确三级专职联络员1700多人，首贷、信用贷、无还本续贷、转贷四项业务联动，构建机制、流程、大数据、产品和宣传五个维度融资新生态，形成了苏州特色的“12345”工作法，帮助民企解决融资难题，助力打造“苏州最舒心”营商环境。</w:t>
      </w:r>
    </w:p>
    <w:p w14:paraId="015F402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　　“一项机制”，筑牢民企融资“组织网”</w:t>
      </w:r>
    </w:p>
    <w:p w14:paraId="3117B1F0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目前，苏州结合全市降低企业综合成本的实际情况，已经全面建立市、县两级支持中小微企业融资协调机制，构建“1+10+41”体系：即1个市级机制（专班）统筹，全市10个板块同步响应，41家商业银行积极落实。通过统筹调度、协调重大事项、推广优秀做法、督查通报、定期发布工作专报等，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下转A03版）</w:t>
      </w:r>
    </w:p>
    <w:p w14:paraId="0B95F864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24519F65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48E9B85C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昨天，太仓沙溪书场，评弹演员在表演《双珠凤》，当地市民品香茗听评弹，享受苏式生活。</w:t>
      </w:r>
    </w:p>
    <w:p w14:paraId="164BA6CF">
      <w:pPr>
        <w:ind w:firstLine="452" w:firstLineChars="200"/>
        <w:jc w:val="right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□张屹 摄（视觉苏州供图）</w:t>
      </w:r>
    </w:p>
    <w:p w14:paraId="743A99C5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5A02D73D">
      <w:pPr>
        <w:ind w:firstLine="452" w:firstLineChars="200"/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6687BB5C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双节收官</w:t>
      </w:r>
    </w:p>
    <w:p w14:paraId="1C1C1015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周边游热榜   苏州排第四</w:t>
      </w:r>
    </w:p>
    <w:p w14:paraId="1E5A44FF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入境游订单   同比增长78%</w:t>
      </w:r>
    </w:p>
    <w:p w14:paraId="1D516AB7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重点商贸企业  销售增9.2%</w:t>
      </w:r>
    </w:p>
    <w:p w14:paraId="6738D3F2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</w:p>
    <w:p w14:paraId="50689AED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新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 xml:space="preserve">  家庭客群成消费主力</w:t>
      </w:r>
    </w:p>
    <w:p w14:paraId="7DC01B4A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热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 xml:space="preserve">  大小活动最聚人气</w:t>
      </w:r>
    </w:p>
    <w:p w14:paraId="03BE6CC7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潮</w:t>
      </w: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 xml:space="preserve">  苏品苏货强势出圈</w:t>
      </w:r>
    </w:p>
    <w:p w14:paraId="715083E3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0CAA58EE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  <w:t>假期最后一天，留园内人头攒动，市民游客游兴不减。□王松泉 摄（视觉苏州供图）</w:t>
      </w:r>
    </w:p>
    <w:p w14:paraId="5B13B285">
      <w:pP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</w:rPr>
      </w:pPr>
    </w:p>
    <w:p w14:paraId="56DEA119">
      <w:pPr>
        <w:rPr>
          <w:rFonts w:hint="default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11111"/>
          <w:spacing w:val="8"/>
          <w:sz w:val="21"/>
          <w:szCs w:val="21"/>
          <w:lang w:val="en-US" w:eastAsia="zh-CN"/>
        </w:rPr>
        <w:t>小麦秸秆变圆“宝”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D1F41"/>
    <w:rsid w:val="077E4290"/>
    <w:rsid w:val="27BD1F41"/>
    <w:rsid w:val="4770274E"/>
    <w:rsid w:val="5D88268C"/>
    <w:rsid w:val="73E257E6"/>
    <w:rsid w:val="7CB3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中铁11局</Company>
  <Pages>3</Pages>
  <Words>3416</Words>
  <Characters>3521</Characters>
  <Lines>0</Lines>
  <Paragraphs>0</Paragraphs>
  <TotalTime>4</TotalTime>
  <ScaleCrop>false</ScaleCrop>
  <LinksUpToDate>false</LinksUpToDate>
  <CharactersWithSpaces>3610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2026-04-17T07:32:00Z</dcterms:created>
  <dc:creator>张玥</dc:creator>
  <cp:lastModifiedBy>极地双子座</cp:lastModifiedBy>
  <dcterms:modified xsi:type="dcterms:W3CDTF">2026-04-17T08:57:34Z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75D57BCD5A5D412FAB4CE19AFFC24644_11</vt:lpwstr>
  </property>
  <property fmtid="{D5CDD505-2E9C-101B-9397-08002B2CF9AE}" pid="4" name="KSOTemplateDocerSaveRecord">
    <vt:lpwstr>eyJoZGlkIjoiNTk2MjViNmZlZTYwMDI5Yzg5NWYzOTM0NWE4NzgyMWEiLCJ1c2VySWQiOiI0MjY1MDU2MzgifQ==</vt:lpwstr>
  </property>
</Properties>
</file>